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商业或项目计划书提纲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200" w:lineRule="exact"/>
        <w:jc w:val="center"/>
        <w:rPr>
          <w:rFonts w:eastAsia="方正小标宋简体"/>
          <w:sz w:val="10"/>
          <w:szCs w:val="10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执行总结（此章节是后续各章节的总结和提炼）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项目或企业背景</w:t>
      </w:r>
      <w:r>
        <w:rPr>
          <w:rFonts w:hint="eastAsia" w:eastAsia="仿宋_GB2312"/>
          <w:sz w:val="24"/>
          <w:szCs w:val="24"/>
        </w:rPr>
        <w:tab/>
      </w:r>
      <w:r>
        <w:rPr>
          <w:rFonts w:hint="eastAsia" w:eastAsia="仿宋_GB2312"/>
          <w:sz w:val="24"/>
          <w:szCs w:val="24"/>
        </w:rPr>
        <w:tab/>
      </w:r>
      <w:r>
        <w:rPr>
          <w:rFonts w:hint="eastAsia" w:eastAsia="仿宋_GB2312"/>
          <w:sz w:val="24"/>
          <w:szCs w:val="24"/>
        </w:rPr>
        <w:tab/>
      </w:r>
      <w:r>
        <w:rPr>
          <w:rFonts w:hint="eastAsia" w:eastAsia="仿宋_GB2312"/>
          <w:sz w:val="24"/>
          <w:szCs w:val="24"/>
        </w:rPr>
        <w:tab/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项目或企业规划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市场分析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行业竞争分析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组织与人事分析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财务分析</w:t>
      </w:r>
    </w:p>
    <w:p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风险分析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项目或公司简介</w:t>
      </w:r>
    </w:p>
    <w:p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项目或公司概述</w:t>
      </w:r>
    </w:p>
    <w:p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项目或公司服务及业务简介</w:t>
      </w:r>
    </w:p>
    <w:p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发展规划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市场与竞争分析</w:t>
      </w:r>
    </w:p>
    <w:p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市场现状</w:t>
      </w:r>
    </w:p>
    <w:p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市场前景</w:t>
      </w:r>
    </w:p>
    <w:p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目标市场</w:t>
      </w:r>
    </w:p>
    <w:p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市场营销策略或商业模式阐述</w:t>
      </w:r>
    </w:p>
    <w:p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竞争分析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运营分析</w:t>
      </w:r>
    </w:p>
    <w:p>
      <w:pPr>
        <w:tabs>
          <w:tab w:val="left" w:pos="1260"/>
          <w:tab w:val="left" w:pos="1440"/>
        </w:tabs>
        <w:adjustRightInd w:val="0"/>
        <w:snapToGrid w:val="0"/>
        <w:spacing w:line="360" w:lineRule="auto"/>
        <w:ind w:firstLine="360" w:firstLineChars="1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4.1  生产组织</w:t>
      </w:r>
    </w:p>
    <w:p>
      <w:pPr>
        <w:adjustRightInd w:val="0"/>
        <w:snapToGrid w:val="0"/>
        <w:spacing w:line="360" w:lineRule="auto"/>
        <w:ind w:firstLine="360" w:firstLineChars="1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4.2  质量控制</w:t>
      </w:r>
    </w:p>
    <w:p>
      <w:pPr>
        <w:adjustRightInd w:val="0"/>
        <w:snapToGrid w:val="0"/>
        <w:spacing w:line="360" w:lineRule="auto"/>
        <w:ind w:firstLine="360" w:firstLineChars="1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4.3  组织管理</w:t>
      </w:r>
    </w:p>
    <w:p>
      <w:pPr>
        <w:tabs>
          <w:tab w:val="left" w:pos="1260"/>
        </w:tabs>
        <w:adjustRightInd w:val="0"/>
        <w:snapToGrid w:val="0"/>
        <w:spacing w:line="360" w:lineRule="auto"/>
        <w:ind w:firstLine="360" w:firstLineChars="1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4.4  人事管理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财务分析</w:t>
      </w:r>
    </w:p>
    <w:p>
      <w:pPr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5.1  投融资分析</w:t>
      </w:r>
    </w:p>
    <w:p>
      <w:pPr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5.2  财务预算</w:t>
      </w:r>
    </w:p>
    <w:p>
      <w:pPr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5.3  财务分析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风险分析</w:t>
      </w:r>
    </w:p>
    <w:p>
      <w:pPr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6.1  风险识别</w:t>
      </w:r>
    </w:p>
    <w:p>
      <w:pPr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6.2  风险防范及措施</w:t>
      </w:r>
    </w:p>
    <w:p>
      <w:pPr>
        <w:tabs>
          <w:tab w:val="left" w:pos="1440"/>
        </w:tabs>
        <w:adjustRightInd w:val="0"/>
        <w:snapToGrid w:val="0"/>
        <w:spacing w:line="360" w:lineRule="auto"/>
        <w:ind w:left="1230" w:leftChars="201" w:hanging="808" w:hangingChars="337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6.3  风险资本退出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团队介绍</w:t>
      </w:r>
    </w:p>
    <w:p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附录：各类附件证明材料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676A6B"/>
    <w:rsid w:val="003C0C68"/>
    <w:rsid w:val="00AF0C8C"/>
    <w:rsid w:val="00C9135E"/>
    <w:rsid w:val="064D7CAC"/>
    <w:rsid w:val="506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2018-03-13T03:16:00Z</dcterms:created>
  <dc:creator>Administrator</dc:creator>
  <cp:lastModifiedBy>风语者_李寿泉</cp:lastModifiedBy>
  <dcterms:modified xsi:type="dcterms:W3CDTF">2019-03-19T09:22:26Z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